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2D8A5E"/>
          <w:sz w:val="18"/>
        </w:rPr>
        <w:t>THE FUNDRAISING LIBRARY</w:t>
      </w:r>
    </w:p>
    <w:p>
      <w:pPr>
        <w:pStyle w:val="Title"/>
      </w:pPr>
      <w:r>
        <w:t>Liquidation preferences review worksheet</w:t>
      </w:r>
    </w:p>
    <w:p>
      <w:pPr>
        <w:pStyle w:val="Heading1"/>
        <w:widowControl/>
      </w:pPr>
      <w:r>
        <w:t>THE FUNDRAISING LIBRARY | GUIDE 14</w:t>
      </w:r>
    </w:p>
    <w:p>
      <w:pPr>
        <w:widowControl/>
      </w:pPr>
      <w:r>
        <w:t>Liquidation preference review worksheet</w:t>
      </w:r>
    </w:p>
    <w:p>
      <w:pPr>
        <w:widowControl/>
      </w:pPr>
      <w:r>
        <w:t>Published 3 October 2026 | The Founders' Stack</w:t>
      </w:r>
    </w:p>
    <w:p>
      <w:pPr>
        <w:widowControl/>
      </w:pPr>
      <w:r>
        <w:t>https://thefoundersstack.com/blog/liquidation-preferences/</w:t>
      </w:r>
    </w:p>
    <w:p>
      <w:pPr>
        <w:widowControl/>
      </w:pPr>
      <w:r>
        <w:t>Purpose: record the terms, ownership and distribution assumptions with a reviewed model. This is a text worksheet, not an automated model or an interpretation of your contract. Signed documents and applicable law govern actual distributions.</w:t>
      </w:r>
    </w:p>
    <w:p>
      <w:pPr>
        <w:pStyle w:val="Heading1"/>
        <w:widowControl/>
      </w:pPr>
      <w:r>
        <w:t>1. DOCUMENT BASIS</w:t>
      </w:r>
    </w:p>
    <w:p>
      <w:pPr>
        <w:widowControl/>
      </w:pPr>
      <w:r>
        <w:t>Company / jurisdiction:</w:t>
      </w:r>
    </w:p>
    <w:p>
      <w:pPr>
        <w:widowControl/>
      </w:pPr>
      <w:r>
        <w:t>Term sheet version / date:</w:t>
      </w:r>
    </w:p>
    <w:p>
      <w:pPr>
        <w:widowControl/>
      </w:pPr>
      <w:r>
        <w:t>Governing share-rights document / clause references:</w:t>
      </w:r>
    </w:p>
    <w:p>
      <w:pPr>
        <w:widowControl/>
      </w:pPr>
      <w:r>
        <w:t>Proposed transaction / covered liquidation-event definition:</w:t>
      </w:r>
    </w:p>
    <w:p>
      <w:pPr>
        <w:widowControl/>
      </w:pPr>
      <w:r>
        <w:t>Reviewer / unresolved interpretation / owner / due date:</w:t>
      </w:r>
    </w:p>
    <w:p>
      <w:pPr>
        <w:widowControl/>
      </w:pPr>
      <w:r>
        <w:t>2. SHARE AND CLASS RECORD (repeat for each class)</w:t>
      </w:r>
    </w:p>
    <w:p>
      <w:pPr>
        <w:widowControl/>
      </w:pPr>
      <w:r>
        <w:t>Holder / class / outstanding shares:</w:t>
      </w:r>
    </w:p>
    <w:p>
      <w:pPr>
        <w:widowControl/>
      </w:pPr>
      <w:r>
        <w:t>Original issue price / investment attributable to the shares:</w:t>
      </w:r>
    </w:p>
    <w:p>
      <w:pPr>
        <w:widowControl/>
      </w:pPr>
      <w:r>
        <w:t>Preference multiple / dividend adjustment / total preference:</w:t>
      </w:r>
    </w:p>
    <w:p>
      <w:pPr>
        <w:widowControl/>
      </w:pPr>
      <w:r>
        <w:t>Conversion ratio / as-converted share count:</w:t>
      </w:r>
    </w:p>
    <w:p>
      <w:pPr>
        <w:widowControl/>
      </w:pPr>
      <w:r>
        <w:t>Participation (none / uncapped / capped):</w:t>
      </w:r>
    </w:p>
    <w:p>
      <w:pPr>
        <w:widowControl/>
      </w:pPr>
      <w:r>
        <w:t>Cap basis / whether initial preference is included:</w:t>
      </w:r>
    </w:p>
    <w:p>
      <w:pPr>
        <w:widowControl/>
      </w:pPr>
      <w:r>
        <w:t>Conversion right / election procedure:</w:t>
      </w:r>
    </w:p>
    <w:p>
      <w:pPr>
        <w:widowControl/>
      </w:pPr>
      <w:r>
        <w:t>Priority (senior / equal priority / junior) and shortfall allocation:</w:t>
      </w:r>
    </w:p>
    <w:p>
      <w:pPr>
        <w:widowControl/>
      </w:pPr>
      <w:r>
        <w:t>Common holders / their shares:</w:t>
      </w:r>
    </w:p>
    <w:p>
      <w:pPr>
        <w:widowControl/>
      </w:pPr>
      <w:r>
        <w:t>Options / pool / warrants / SAFEs / notes / treatment at exit:</w:t>
      </w:r>
    </w:p>
    <w:p>
      <w:pPr>
        <w:widowControl/>
      </w:pPr>
      <w:r>
        <w:t>Fully diluted denominator and what it includes:</w:t>
      </w:r>
    </w:p>
    <w:p>
      <w:pPr>
        <w:pStyle w:val="Heading1"/>
        <w:widowControl/>
      </w:pPr>
      <w:r>
        <w:t>3. BRIDGE THE PRICE TO DISTRIBUTABLE PROCEEDS</w:t>
      </w:r>
    </w:p>
    <w:p>
      <w:pPr>
        <w:widowControl/>
      </w:pPr>
      <w:r>
        <w:t>Headline value and whether it is enterprise or equity value:</w:t>
      </w:r>
    </w:p>
    <w:p>
      <w:pPr>
        <w:widowControl/>
      </w:pPr>
      <w:r>
        <w:t>Liabilities to settle / transaction fees / taxes / other adjustments:</w:t>
      </w:r>
    </w:p>
    <w:p>
      <w:pPr>
        <w:widowControl/>
      </w:pPr>
      <w:r>
        <w:t>Cash immediately distributable to shareholders:</w:t>
      </w:r>
    </w:p>
    <w:p>
      <w:pPr>
        <w:widowControl/>
      </w:pPr>
      <w:r>
        <w:t>Escrow / holdback / contingent consideration and payment timing:</w:t>
      </w:r>
    </w:p>
    <w:p>
      <w:pPr>
        <w:widowControl/>
      </w:pPr>
      <w:r>
        <w:t>Option exercise / cash-out treatment:</w:t>
      </w:r>
    </w:p>
    <w:p>
      <w:pPr>
        <w:widowControl/>
      </w:pPr>
      <w:r>
        <w:t>Source and reviewer of each adjustment:</w:t>
      </w:r>
    </w:p>
    <w:p>
      <w:pPr>
        <w:widowControl/>
      </w:pPr>
      <w:r>
        <w:t>4. SCENARIO RECORD (repeat at different proceeds amounts)</w:t>
      </w:r>
    </w:p>
    <w:p>
      <w:pPr>
        <w:widowControl/>
      </w:pPr>
      <w:r>
        <w:t>Distributable proceeds E:</w:t>
      </w:r>
    </w:p>
    <w:p>
      <w:pPr>
        <w:widowControl/>
      </w:pPr>
      <w:r>
        <w:t>Preference entitlement P:</w:t>
      </w:r>
    </w:p>
    <w:p>
      <w:pPr>
        <w:widowControl/>
      </w:pPr>
      <w:r>
        <w:t>As-converted fraction q / denominator:</w:t>
      </w:r>
    </w:p>
    <w:p>
      <w:pPr>
        <w:widowControl/>
      </w:pPr>
      <w:r>
        <w:t>Participation cap C (if any):</w:t>
      </w:r>
    </w:p>
    <w:p>
      <w:pPr>
        <w:widowControl/>
      </w:pPr>
      <w:r>
        <w:t>Payout if preferred / payout if converted / elected treatment:</w:t>
      </w:r>
    </w:p>
    <w:p>
      <w:pPr>
        <w:widowControl/>
      </w:pPr>
      <w:r>
        <w:t>Investor payout:</w:t>
      </w:r>
    </w:p>
    <w:p>
      <w:pPr>
        <w:widowControl/>
      </w:pPr>
      <w:r>
        <w:t>Common payout, then allocation among actual common holders:</w:t>
      </w:r>
    </w:p>
    <w:p>
      <w:pPr>
        <w:widowControl/>
      </w:pPr>
      <w:r>
        <w:t>Total payouts minus E (must be zero):</w:t>
      </w:r>
    </w:p>
    <w:p>
      <w:pPr>
        <w:widowControl/>
      </w:pPr>
      <w:r>
        <w:t>Assumptions / exclusions / questions for counsel:</w:t>
      </w:r>
    </w:p>
    <w:p>
      <w:pPr>
        <w:pStyle w:val="Heading1"/>
        <w:widowControl/>
      </w:pPr>
      <w:r>
        <w:t>5. FICTIONAL REFERENCE EXAMPLE (USD MILLIONS)</w:t>
      </w:r>
    </w:p>
    <w:p>
      <w:pPr>
        <w:widowControl/>
      </w:pPr>
      <w:r>
        <w:t>Northstar: $2M invested; 2M preferred shares converting 1:1; 8M founder common shares; 20% investor/80% founders as-converted fully diluted. One preferred class, all preferred shares equal priority. No options, pool, debt, fees, dividends, taxes, warrants, SAFEs, notes, escrow or earn-outs. Exit proceeds are already distributable to these shareholders.</w:t>
      </w:r>
    </w:p>
    <w:p>
      <w:pPr>
        <w:widowControl/>
      </w:pPr>
      <w:r>
        <w:t>E | 1x non-participating investor/common | 1x uncapped participating investor/common | 1x participating with 2x TOTAL cap, conversion available, investor/common</w:t>
      </w:r>
    </w:p>
    <w:p>
      <w:pPr>
        <w:widowControl/>
      </w:pPr>
      <w:r>
        <w:t>0 | 0/0 | 0/0 | 0/0</w:t>
      </w:r>
    </w:p>
    <w:p>
      <w:pPr>
        <w:widowControl/>
      </w:pPr>
      <w:r>
        <w:t>1 | 1/0 | 1/0 | 1/0</w:t>
      </w:r>
    </w:p>
    <w:p>
      <w:pPr>
        <w:widowControl/>
      </w:pPr>
      <w:r>
        <w:t>8 | 2/6 | 3.2/4.8 | 3.2/4.8</w:t>
      </w:r>
    </w:p>
    <w:p>
      <w:pPr>
        <w:widowControl/>
      </w:pPr>
      <w:r>
        <w:t>10 | 2/8 | 3.6/6.4 | 3.6/6.4</w:t>
      </w:r>
    </w:p>
    <w:p>
      <w:pPr>
        <w:widowControl/>
      </w:pPr>
      <w:r>
        <w:t>12 | 2.4/9.6 | 4/8 | 4/8</w:t>
      </w:r>
    </w:p>
    <w:p>
      <w:pPr>
        <w:widowControl/>
      </w:pPr>
      <w:r>
        <w:t>20 | 4/16 | 5.6/14.4 | 4/16</w:t>
      </w:r>
    </w:p>
    <w:p>
      <w:pPr>
        <w:widowControl/>
      </w:pPr>
      <w:r>
        <w:t>30 | 6/24 | 7.6/22.4 | 6/24</w:t>
      </w:r>
    </w:p>
    <w:p>
      <w:pPr>
        <w:widowControl/>
      </w:pPr>
      <w:r>
        <w:t>Non-participating conversion equals its $2M preference at $10M; above that, conversion pays more. The $4M total participation cap is reached at $12M. At $20M conversion equals that cap; above $20M the capped holder converts. Do not add the preferred and conversion payouts together.</w:t>
      </w:r>
    </w:p>
    <w:p>
      <w:pPr>
        <w:widowControl/>
      </w:pPr>
      <w:r>
        <w:t>Simplified single-class formulas:</w:t>
      </w:r>
    </w:p>
    <w:p>
      <w:pPr>
        <w:widowControl/>
      </w:pPr>
      <w:r>
        <w:t>Non-participating: min(E, max(P, q*E)).</w:t>
      </w:r>
    </w:p>
    <w:p>
      <w:pPr>
        <w:widowControl/>
      </w:pPr>
      <w:r>
        <w:t>Uncapped participating: min(E, P) + q*max(0, E-P).</w:t>
      </w:r>
    </w:p>
    <w:p>
      <w:pPr>
        <w:widowControl/>
      </w:pPr>
      <w:r>
        <w:t>Capped participating, cap C includes preference and conversion allowed: max(q*E, min(C, uncapped payout)).</w:t>
      </w:r>
    </w:p>
    <w:p>
      <w:pPr>
        <w:widowControl/>
      </w:pPr>
      <w:r>
        <w:t>Common: E minus chosen investor payout.</w:t>
      </w:r>
    </w:p>
    <w:p>
      <w:pPr>
        <w:widowControl/>
      </w:pPr>
      <w:r>
        <w:t>These formulas do not solve a negotiated multi-series stack.</w:t>
      </w:r>
    </w:p>
    <w:p>
      <w:pPr>
        <w:pStyle w:val="Heading1"/>
        <w:widowControl/>
      </w:pPr>
      <w:r>
        <w:t>6. REVIEW</w:t>
      </w:r>
    </w:p>
    <w:p>
      <w:pPr>
        <w:widowControl/>
      </w:pPr>
      <w:r>
        <w:t>[ ] Trigger checked against transaction.</w:t>
      </w:r>
    </w:p>
    <w:p>
      <w:pPr>
        <w:widowControl/>
      </w:pPr>
      <w:r>
        <w:t>[ ] Share counts, conversion and denominator reconcile.</w:t>
      </w:r>
    </w:p>
    <w:p>
      <w:pPr>
        <w:widowControl/>
      </w:pPr>
      <w:r>
        <w:t>[ ] Preference and dividend terms checked.</w:t>
      </w:r>
    </w:p>
    <w:p>
      <w:pPr>
        <w:widowControl/>
      </w:pPr>
      <w:r>
        <w:t>[ ] Participation, cap basis and conversion checked.</w:t>
      </w:r>
    </w:p>
    <w:p>
      <w:pPr>
        <w:widowControl/>
      </w:pPr>
      <w:r>
        <w:t>[ ] Priority and shortfalls checked for every class.</w:t>
      </w:r>
    </w:p>
    <w:p>
      <w:pPr>
        <w:widowControl/>
      </w:pPr>
      <w:r>
        <w:t>[ ] Proceeds bridge and payment timing checked.</w:t>
      </w:r>
    </w:p>
    <w:p>
      <w:pPr>
        <w:widowControl/>
      </w:pPr>
      <w:r>
        <w:t>[ ] Payouts total distributable proceeds without double-counting.</w:t>
      </w:r>
    </w:p>
    <w:p>
      <w:pPr>
        <w:widowControl/>
      </w:pPr>
      <w:r>
        <w:t>[ ] Jurisdiction-appropriate adviser reviewed the actual deal.</w:t>
      </w:r>
    </w:p>
    <w:p>
      <w:pPr>
        <w:widowControl/>
      </w:pPr>
      <w:r>
        <w:t>Sources reviewed 3 October 2026:</w:t>
      </w:r>
    </w:p>
    <w:p>
      <w:pPr>
        <w:widowControl/>
      </w:pPr>
      <w:r>
        <w:t>https://nvca.org/model-legal-documents/</w:t>
      </w:r>
    </w:p>
    <w:p>
      <w:pPr>
        <w:widowControl/>
      </w:pPr>
      <w:r>
        <w:t>https://nvca.org/document/nvca-model-certificate-of-incorporation-updated-oct-2025/</w:t>
      </w:r>
    </w:p>
    <w:p>
      <w:pPr>
        <w:widowControl/>
      </w:pPr>
      <w:r>
        <w:t>https://launch.wilmerhale.com/explore/financing/financing-terms-and-structures/how-liquidation-preferences-work</w:t>
      </w:r>
    </w:p>
    <w:p>
      <w:pPr>
        <w:widowControl/>
      </w:pPr>
      <w:r>
        <w:t>https://www.theventurealley.com/2011/12/understanding-vc-financings-liqudation-preferences/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52" w:right="1224" w:bottom="1152" w:left="122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The Founders’ Stack  |  The Fundraising Library</w:t>
      <w:br/>
      <w:t>https://thefoundersstack.com/blog/liquidation-preferences/</w:t>
      <w:br/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347472" cy="30154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fs-logo-emai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7472" cy="301542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A3C2A"/>
        <w:sz w:val="22"/>
      </w:rPr>
      <w:t xml:space="preserve">   The Founders’ Stack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7271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A3C2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A3C2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color w:val="0A0A0A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Liquidation preferences review worksheet</dc:title>
  <dc:subject>The Fundraising Library</dc:subject>
  <dc:creator>The Founders’ Stack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