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Cash runway review note</w:t>
      </w:r>
    </w:p>
    <w:p>
      <w:pPr>
        <w:widowControl/>
      </w:pPr>
      <w:r>
        <w:t>Fictional cash planning example. Replace all details.</w:t>
      </w:r>
    </w:p>
    <w:p>
      <w:pPr>
        <w:widowControl/>
      </w:pPr>
      <w:r>
        <w:t>AS OF: 30 September 2026 (fictional)</w:t>
      </w:r>
    </w:p>
    <w:p>
      <w:pPr>
        <w:widowControl/>
      </w:pPr>
      <w:r>
        <w:t>AVAILABLE CASH: USD 600,000; excludes USD 60,000 unavailable cash</w:t>
      </w:r>
    </w:p>
    <w:p>
      <w:pPr>
        <w:widowControl/>
      </w:pPr>
      <w:r>
        <w:t>CHOSEN CASH FLOOR: USD 100,000, inside available cash</w:t>
      </w:r>
    </w:p>
    <w:p>
      <w:pPr>
        <w:widowControl/>
      </w:pPr>
      <w:r>
        <w:t>SIMPLE ESTIMATE: 10.0 months at USD 60,000 monthly net cash burn</w:t>
      </w:r>
    </w:p>
    <w:p>
      <w:pPr>
        <w:widowControl/>
      </w:pPr>
      <w:r>
        <w:t>CURRENT PLAN: USD 50,000 monthly collections; payments rise from USD 110,000 to USD 130,000 in month 3; USD 20,000 one-off in month 4</w:t>
      </w:r>
    </w:p>
    <w:p>
      <w:pPr>
        <w:widowControl/>
      </w:pPr>
      <w:r>
        <w:t>NO NEW FUNDING CASE: First month-end below floor in month 7; first non-positive month-end in month 8</w:t>
      </w:r>
    </w:p>
    <w:p>
      <w:pPr>
        <w:widowControl/>
      </w:pPr>
      <w:r>
        <w:t>SLOWER COLLECTIONS: USD 30,000 monthly; below floor in month 6 and non-positive in month 7</w:t>
      </w:r>
    </w:p>
    <w:p>
      <w:pPr>
        <w:widowControl/>
      </w:pPr>
      <w:r>
        <w:t>REVIEW NEXT: Confirm collection dates and planned hiring before approving new commitments</w:t>
      </w:r>
    </w:p>
    <w:p>
      <w:pPr>
        <w:widowControl/>
      </w:pPr>
      <w:r>
        <w:t>OWNER / NEXT REVIEW: Replace with your owner and date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https://thefoundersstack.com/blog/how-to-calculate-startup-cash-runway/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runway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